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s="新宋体"/>
          <w:b/>
          <w:bCs/>
          <w:snapToGrid w:val="0"/>
          <w:color w:val="FF0000"/>
          <w:w w:val="66"/>
          <w:sz w:val="72"/>
          <w:szCs w:val="72"/>
          <w:u w:val="none" w:color="auto"/>
        </w:rPr>
      </w:pPr>
      <w:r>
        <w:rPr>
          <w:rFonts w:hint="eastAsia" w:ascii="新宋体" w:hAnsi="新宋体" w:eastAsia="新宋体" w:cs="新宋体"/>
          <w:b/>
          <w:bCs/>
          <w:snapToGrid w:val="0"/>
          <w:color w:val="FF0000"/>
          <w:w w:val="66"/>
          <w:sz w:val="72"/>
          <w:szCs w:val="72"/>
          <w:u w:val="none" w:color="auto"/>
        </w:rPr>
        <w:t>枣庄市人民政府教育督导委员会办公室</w:t>
      </w:r>
    </w:p>
    <w:p>
      <w:pPr>
        <w:jc w:val="center"/>
        <w:rPr>
          <w:rFonts w:hint="eastAsia" w:ascii="新宋体" w:hAnsi="新宋体" w:eastAsia="新宋体" w:cs="新宋体"/>
          <w:b/>
          <w:bCs/>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135255</wp:posOffset>
                </wp:positionH>
                <wp:positionV relativeFrom="paragraph">
                  <wp:posOffset>159385</wp:posOffset>
                </wp:positionV>
                <wp:extent cx="5076825" cy="635"/>
                <wp:effectExtent l="0" t="31750" r="9525" b="43815"/>
                <wp:wrapNone/>
                <wp:docPr id="2" name="直线 2"/>
                <wp:cNvGraphicFramePr/>
                <a:graphic xmlns:a="http://schemas.openxmlformats.org/drawingml/2006/main">
                  <a:graphicData uri="http://schemas.microsoft.com/office/word/2010/wordprocessingShape">
                    <wps:wsp>
                      <wps:cNvCnPr/>
                      <wps:spPr>
                        <a:xfrm>
                          <a:off x="0" y="0"/>
                          <a:ext cx="5076825" cy="635"/>
                        </a:xfrm>
                        <a:prstGeom prst="line">
                          <a:avLst/>
                        </a:prstGeom>
                        <a:ln w="6350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0.65pt;margin-top:12.55pt;height:0.05pt;width:399.75pt;z-index:251658240;mso-width-relative:page;mso-height-relative:page;" filled="f" stroked="t" coordsize="21600,21600" o:gfxdata="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6IbXw1AAAAAgBAAAPAAAAAAAAAAEAIAAAACIA&#10;AABkcnMvZG93bnJldi54bWxQSwECFAAUAAAACACHTuJAxhmqU9QBAACWAwAADgAAAAAAAAABACAA&#10;AAAjAQAAZHJzL2Uyb0RvYy54bWxQSwUGAAAAAAYABgBZAQAAaQUAAAAA&#10;">
                <v:fill on="f" focussize="0,0"/>
                <v:stroke weight="5pt" color="#FF0000" linestyle="thickThin" joinstyle="round"/>
                <v:imagedata o:title=""/>
                <o:lock v:ext="edit" aspectratio="f"/>
              </v:line>
            </w:pict>
          </mc:Fallback>
        </mc:AlternateContent>
      </w:r>
    </w:p>
    <w:p>
      <w:pPr>
        <w:jc w:val="center"/>
        <w:rPr>
          <w:rFonts w:hint="eastAsia" w:ascii="新宋体" w:hAnsi="新宋体" w:eastAsia="新宋体" w:cs="新宋体"/>
          <w:b/>
          <w:bCs/>
          <w:sz w:val="44"/>
          <w:szCs w:val="44"/>
        </w:rPr>
      </w:pPr>
    </w:p>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枣庄市人民政府教育督导委员会办公室</w:t>
      </w:r>
    </w:p>
    <w:p>
      <w:pPr>
        <w:jc w:val="center"/>
        <w:rPr>
          <w:rFonts w:hint="eastAsia" w:ascii="新宋体" w:hAnsi="新宋体" w:eastAsia="新宋体" w:cs="新宋体"/>
          <w:b/>
          <w:bCs/>
          <w:sz w:val="44"/>
          <w:szCs w:val="44"/>
        </w:rPr>
      </w:pPr>
      <w:r>
        <w:rPr>
          <w:rFonts w:hint="eastAsia" w:ascii="新宋体" w:hAnsi="新宋体" w:eastAsia="新宋体" w:cs="新宋体"/>
          <w:b/>
          <w:bCs/>
          <w:sz w:val="44"/>
          <w:szCs w:val="44"/>
        </w:rPr>
        <w:t>关于2018年“全面改薄”工作自查报告</w:t>
      </w:r>
    </w:p>
    <w:p>
      <w:pPr>
        <w:rPr>
          <w:rFonts w:hint="eastAsia" w:ascii="新宋体" w:hAnsi="新宋体" w:eastAsia="新宋体" w:cs="新宋体"/>
          <w:b/>
          <w:bCs/>
          <w:sz w:val="44"/>
          <w:szCs w:val="44"/>
        </w:rPr>
      </w:pPr>
    </w:p>
    <w:p>
      <w:pPr>
        <w:ind w:firstLine="640" w:firstLineChars="200"/>
        <w:rPr>
          <w:rFonts w:hint="eastAsia" w:ascii="仿宋" w:hAnsi="仿宋" w:eastAsia="仿宋" w:cs="仿宋"/>
          <w:sz w:val="32"/>
          <w:szCs w:val="32"/>
        </w:rPr>
      </w:pPr>
      <w:bookmarkStart w:id="1" w:name="_GoBack"/>
      <w:bookmarkEnd w:id="1"/>
      <w:r>
        <w:rPr>
          <w:rFonts w:hint="eastAsia" w:ascii="仿宋" w:hAnsi="仿宋" w:eastAsia="仿宋" w:cs="仿宋"/>
          <w:sz w:val="32"/>
          <w:szCs w:val="32"/>
        </w:rPr>
        <w:t>现将我市开展2018年“全面改薄”工作自查的有关情况报告如下：</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一、自查工作开展情况和“20多条底线”达标情况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省下发《山东省人民政府教育督导室关于转发〈国务院教育督导委员会办公室关于开展2018年全面改善贫困地区义务教育薄弱学校基本办学条件工作专项督导的通知〉的通知》后，我市迅速行动，扎实工作，10月24日召开了专题工作部署会议和培训会议，10月23日印发了《关于做好迎接国务院教育督导委员会办公室2018年“全面改薄”专项督导工作的通知》（枣政教督函[2018]5号），对该项工作的重大意义、开展区（市）自评和市级复查，以及全力做好迎接国家专项督导的各项准备工作提出了明确要求，特别是对自查工作进行了重点强调。各区（市）根据省、市要求严格对照“20条低线”认真组织本区域内所有公办义务教育学校逐项自查，并将自查情况录入“农村义务教育学校‘20条底线’要求督导管理系统”。自查期间，各区（市）、各学校认真按国家要求组织师生、家长进行了“网络评测”。同时，我市组织了6个督导组，分别由局领导班子成员带队，于9月3日结合秋季开学检查，重点抽查学校“20条底线”落实情况；9月10日至11日为迎接国家教育督导办对我市秋季开学情况检查，再次对区（市）的部分学校“20条底线”整改情况进行了专项督查；11月9日，市组织专门督查组，对台儿庄、峄城区部分学校进行了重点抽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通过区（市）、学校自查、抽查和市级复评，全市653所公办义务教育学校“20条底线”达标率为100%。具体指标为：</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1.消除D级危房。对D级危房已按规定采取有效措施，达标学校653所，达标率为100%。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2.校舍楼梯。多层校舍建筑每幢不少于2部楼梯，楼梯坡度不大于30度，楼梯坚固耐用，护栏坚固耐用，达标学校653所，达标率为100%。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3.室内安全。教室和宿舍内外墙面平整，无明显尖锐突出物体，室内无裸露电线，窗台的高度符合安全标准，达标学校653所，达标率为100%。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4.室内采光照明。教学用房室内采光良好，照明设施完善，光线充足，达标学校653所，达标率为100%。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5.课桌椅。实现1人1桌1椅（凳），达标学校653所，达标率为100%。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6.黑板。按国家标准配置满足教学要求的黑板，达标学校653所，达标率为100%。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7.体育活动条件。具备适合学生特点的体育活动场地和设施设备，有利于开展具有当地特色的体育活动，达标学校653所，达标率为100%。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8.新增图书。新增图书为适合学生年龄特点的正版图书，配备复本量应视学校规模和图书使用频率合理确定，达标学校653所，达标率为100%。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9.升旗条件。设置旗台、旗杆，按要求升国旗，达标学校653所，达标率为100%。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10.寄宿生床位。实现寄宿学生1人1床位，消除“大通铺”现象达标学校653所，达标率为100%。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11.宿舍位置。学生宿舍不设在地下室或半地下室，达标学校653所，达标率为100%。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12.淋浴设施。除特别干旱地区外，寄宿制学校应设置淋浴设施，达标学校653所，达标率为100%。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13.就餐条件。寄宿制学校或供餐学校具备食品制作或加热条件，满足学生就餐需要，达标学校653所，达标率为100%。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14.开水供应设施。配备开水供应设施设备，达标学校653所，达标率为100%。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15.厕所设置。新建校舍一般设置水冲式厕所。厕位够用，按1:3设置男女蹲位。旱厕应按学校专门无害化卫生厕所设置，达标学校653所，达标率为100%。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16.监控急救设施。在校门、宿舍等关键部位安装摄像头和报警装置。宿舍区配备急救箱，达标学校653所，达标率为100%。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17.封闭措施。因地制宜设置满足校园安全需要的围墙或围栏，达标学校653所，达标率为100%。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18.应急设施。配置消防和应急照明设备，设置明显的疏散标志，达标学校653所，达标率为100%。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19.消除超大班额。消除66人以上超大班额，达标学校653所，达标率为100%。</w:t>
      </w:r>
    </w:p>
    <w:p>
      <w:pPr>
        <w:pStyle w:val="4"/>
        <w:spacing w:before="0" w:beforeAutospacing="0" w:after="0" w:afterAutospacing="0" w:line="585"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rPr>
        <w:t>20.多媒体教室。各学校均有可供开展多媒体教学的教室，达标学校653，达标率为100%。</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二、“全面改薄”推进情况</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（一）高度重视，周密部署</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市级层面，市委将“全面改薄”列入对区（市）委科学发展综合考核重要指标；市政府将“全面改薄”列入“政府工作报告”、“惠民实事”和“枣庄市重点改革事项”，市教育局将“全面改薄”列入年度“重点工作”，各区（市）、各乡镇也比照市模式将“全面改薄”列入同级党政年度工作重点，形成了全市高度重视、上下联动、齐抓共管的局面。</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有效推进我市“全面改薄”工作，市改薄办在年初对每月任务进行月度排档，并结合市教育局重点工作对区（市）“全面改薄”工作完成情况每月进行调度；市改薄办还对重点项目实行销号制度，要求重点项目每月15号、30号上报项目进展照片，对进展缓慢的项目及时跟进、督查以促进工程进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b/>
          <w:bCs/>
          <w:sz w:val="32"/>
          <w:szCs w:val="32"/>
        </w:rPr>
        <w:t>多方筹资，及时下拨专款</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有效推动“全面改薄”工程实施，调动施工企业积极性，当上级专项资金指标下达时，市改薄办会同计财科以最快速度计算出资金分配方案并提请领导研究，协同财政部门以最高效率将专项资金下达到区（市）。各区（市）也立足实际，在充分利用好上级专项资金的前提下，千方百计利用一切资源用于“全面改薄”。</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（三）推进工程规范化管理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全面改薄”项目建设工程，我们严格按照基本建设程序和工程建设标准进行施工，确保工程质量。一是严格执行工程的设计、招标、监理、质检、验收等建筑行业标准。二是严把工程质量监督关。要求各项目单位加强对施工过程的监督，对基础工程、隐蔽工程、工程主体、建筑材料使用等关键环节全程监督，杜绝出现任何质量问题。三是严把工程验收关。要求各项目单位严格验收程序，严格重点时段的验收，不经过质检，不得进行下一步工序，严格执行工程质量终身制和责任追究制，要求工程竣工后在醒目位置设置永久性标牌以强化责任意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对于设备购置类项目，除执行公开招投标外，我们还从严控设备采购预算、准确发布采购信息、严查供应商资格、合理管控验收环节、密切关注设备质保期限等方面把关，确保招标来的物品有所值且物尽其用。</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（四）强化督查，全力推进项目进展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为确保工程顺利完成，我们在市层面建立了</w:t>
      </w:r>
      <w:bookmarkStart w:id="0" w:name="OLE_LINK1"/>
      <w:r>
        <w:rPr>
          <w:rFonts w:hint="eastAsia" w:ascii="仿宋" w:hAnsi="仿宋" w:eastAsia="仿宋" w:cs="仿宋"/>
          <w:sz w:val="32"/>
          <w:szCs w:val="32"/>
        </w:rPr>
        <w:t>“双线调度双线督查”制度</w:t>
      </w:r>
      <w:bookmarkEnd w:id="0"/>
      <w:r>
        <w:rPr>
          <w:rFonts w:hint="eastAsia" w:ascii="仿宋" w:hAnsi="仿宋" w:eastAsia="仿宋" w:cs="仿宋"/>
          <w:sz w:val="32"/>
          <w:szCs w:val="32"/>
        </w:rPr>
        <w:t>，即：市政府督查室从政府“二十件惠民实事”着手，对区（市）政府和市直部门进行“月调度、季督查”；市教育局、市改薄办从教育“重点工作”着手，对教育系统进行“旬调度、月通报”和不定期督查，不断强化督导检查、抢抓项目落实。</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（五）广泛宣传，营造氛围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加大“全面改薄”的宣传力度，我市建立了“全面改薄”宣传评比、通报等激励机制，鼓励各区（市）通过电视、报刊、网站等多种形式宣传营造良好氛围，同时，还在枣庄教育网开辟了“全面改薄”专栏，宣传中央、省、市有关政策、发布全市“全面改薄”工作进展情况等有关信息、总结推广各区（市）工作经验做法。</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三、“全面改薄”规划实施进展情况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面改薄”工程自2014年实施以来，在省教育厅、省“改薄办”及各级领导的关心指导下，我市高度重视、精心组织、加大投入，目前已累计完成投入22.29亿元，达2014-2018年总规划21.58亿元的102.7%；校舍建设类开工114.9万平方米并已全部竣工，达总规划114.22万平方米的100.6%；运动场地开工85.56万平方米并已全部竣工，达总规划84.57万平方米的101.3%；设备购置类完成投资2.56亿元，达总规划2.43亿元的105.3%。均超额完成了“全面改薄”（2014-2018）规划任务。</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四、下一步工作打算</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下一步，我们将以“为人民提供更好更公平的教育”为工作目标，深入贯彻习总书记关于教育工作重要论述和全国教育大会精神，加大对“全面改薄”校舍建设类项目的校舍档案建设和设备购置类项目使用效率的督查力度，建立健全“全面改薄”督查长效机制，对工作中好的经验做法进行总结，认真做好“全面改薄”的后续工作，为教育事业发展贡献应有的力量。</w:t>
      </w:r>
    </w:p>
    <w:p>
      <w:pPr>
        <w:ind w:firstLine="645"/>
        <w:rPr>
          <w:rFonts w:hint="eastAsia" w:ascii="仿宋" w:hAnsi="仿宋" w:eastAsia="仿宋" w:cs="仿宋"/>
          <w:sz w:val="32"/>
          <w:szCs w:val="32"/>
        </w:rPr>
      </w:pPr>
    </w:p>
    <w:p>
      <w:pPr>
        <w:ind w:firstLine="645"/>
        <w:rPr>
          <w:rFonts w:hint="eastAsia" w:ascii="仿宋" w:hAnsi="仿宋" w:eastAsia="仿宋" w:cs="仿宋"/>
          <w:sz w:val="32"/>
          <w:szCs w:val="32"/>
        </w:rPr>
      </w:pPr>
      <w:r>
        <w:rPr>
          <w:rFonts w:hint="eastAsia" w:ascii="仿宋" w:hAnsi="仿宋" w:eastAsia="仿宋" w:cs="仿宋"/>
          <w:sz w:val="32"/>
          <w:szCs w:val="32"/>
        </w:rPr>
        <w:t>附件：1.“底线要求”达标情况统计表（分县统计）</w:t>
      </w:r>
    </w:p>
    <w:p>
      <w:pPr>
        <w:ind w:firstLine="645"/>
        <w:rPr>
          <w:rFonts w:hint="eastAsia" w:ascii="仿宋" w:hAnsi="仿宋" w:eastAsia="仿宋" w:cs="仿宋"/>
          <w:sz w:val="32"/>
          <w:szCs w:val="32"/>
        </w:rPr>
      </w:pPr>
      <w:r>
        <w:rPr>
          <w:rFonts w:hint="eastAsia" w:ascii="仿宋" w:hAnsi="仿宋" w:eastAsia="仿宋" w:cs="仿宋"/>
          <w:sz w:val="32"/>
          <w:szCs w:val="32"/>
        </w:rPr>
        <w:t xml:space="preserve">      2.“底线要求”达标情况统计表（分项统计）</w:t>
      </w:r>
    </w:p>
    <w:p>
      <w:pPr>
        <w:ind w:firstLine="645"/>
        <w:rPr>
          <w:rFonts w:hint="eastAsia" w:ascii="仿宋" w:hAnsi="仿宋" w:eastAsia="仿宋" w:cs="仿宋"/>
          <w:sz w:val="32"/>
          <w:szCs w:val="32"/>
        </w:rPr>
      </w:pPr>
    </w:p>
    <w:p>
      <w:pPr>
        <w:ind w:firstLine="645"/>
        <w:jc w:val="right"/>
        <w:rPr>
          <w:rFonts w:hint="eastAsia" w:ascii="仿宋" w:hAnsi="仿宋" w:eastAsia="仿宋" w:cs="仿宋"/>
          <w:sz w:val="32"/>
          <w:szCs w:val="32"/>
        </w:rPr>
      </w:pPr>
      <w:r>
        <w:rPr>
          <w:rFonts w:hint="eastAsia" w:ascii="仿宋" w:hAnsi="仿宋" w:eastAsia="仿宋" w:cs="仿宋"/>
          <w:sz w:val="32"/>
          <w:szCs w:val="32"/>
        </w:rPr>
        <w:t>2018年11月20日</w:t>
      </w:r>
    </w:p>
    <w:p>
      <w:pPr>
        <w:rPr>
          <w:rFonts w:hint="eastAsia" w:ascii="仿宋" w:hAnsi="仿宋" w:eastAsia="仿宋" w:cs="仿宋"/>
          <w:sz w:val="32"/>
          <w:szCs w:val="32"/>
        </w:rPr>
      </w:pPr>
      <w:r>
        <w:rPr>
          <w:rFonts w:hint="eastAsia" w:ascii="仿宋" w:hAnsi="仿宋" w:eastAsia="仿宋" w:cs="仿宋"/>
          <w:sz w:val="32"/>
          <w:szCs w:val="32"/>
        </w:rPr>
        <w:br w:type="page"/>
      </w:r>
    </w:p>
    <w:p>
      <w:pPr>
        <w:jc w:val="both"/>
        <w:rPr>
          <w:rFonts w:hint="eastAsia" w:ascii="仿宋" w:hAnsi="仿宋" w:eastAsia="仿宋" w:cs="文星仿宋"/>
          <w:sz w:val="32"/>
          <w:szCs w:val="32"/>
          <w:lang w:val="en-US" w:eastAsia="zh-CN"/>
        </w:rPr>
      </w:pPr>
      <w:r>
        <w:rPr>
          <w:rFonts w:hint="eastAsia" w:ascii="仿宋" w:hAnsi="仿宋" w:eastAsia="仿宋" w:cs="文星仿宋"/>
          <w:sz w:val="32"/>
          <w:szCs w:val="32"/>
          <w:lang w:val="en-US" w:eastAsia="zh-CN"/>
        </w:rPr>
        <w:t>附件一</w:t>
      </w:r>
    </w:p>
    <w:tbl>
      <w:tblPr>
        <w:tblStyle w:val="6"/>
        <w:tblW w:w="8424" w:type="dxa"/>
        <w:jc w:val="center"/>
        <w:tblInd w:w="0" w:type="dxa"/>
        <w:shd w:val="clear" w:color="auto" w:fill="auto"/>
        <w:tblLayout w:type="fixed"/>
        <w:tblCellMar>
          <w:top w:w="0" w:type="dxa"/>
          <w:left w:w="0" w:type="dxa"/>
          <w:bottom w:w="0" w:type="dxa"/>
          <w:right w:w="0" w:type="dxa"/>
        </w:tblCellMar>
      </w:tblPr>
      <w:tblGrid>
        <w:gridCol w:w="540"/>
        <w:gridCol w:w="849"/>
        <w:gridCol w:w="855"/>
        <w:gridCol w:w="960"/>
        <w:gridCol w:w="1185"/>
        <w:gridCol w:w="930"/>
        <w:gridCol w:w="1125"/>
        <w:gridCol w:w="1140"/>
        <w:gridCol w:w="840"/>
      </w:tblGrid>
      <w:tr>
        <w:tblPrEx>
          <w:shd w:val="clear" w:color="auto" w:fill="auto"/>
          <w:tblLayout w:type="fixed"/>
          <w:tblCellMar>
            <w:top w:w="0" w:type="dxa"/>
            <w:left w:w="0" w:type="dxa"/>
            <w:bottom w:w="0" w:type="dxa"/>
            <w:right w:w="0" w:type="dxa"/>
          </w:tblCellMar>
        </w:tblPrEx>
        <w:trPr>
          <w:trHeight w:val="1200" w:hRule="atLeast"/>
          <w:jc w:val="center"/>
        </w:trPr>
        <w:tc>
          <w:tcPr>
            <w:tcW w:w="8424"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枣庄市</w:t>
            </w:r>
            <w:r>
              <w:rPr>
                <w:rFonts w:hint="default" w:ascii="方正小标宋简体" w:hAnsi="方正小标宋简体" w:eastAsia="方正小标宋简体" w:cs="方正小标宋简体"/>
                <w:i w:val="0"/>
                <w:color w:val="000000"/>
                <w:kern w:val="0"/>
                <w:sz w:val="32"/>
                <w:szCs w:val="32"/>
                <w:u w:val="none"/>
                <w:lang w:val="en-US" w:eastAsia="zh-CN" w:bidi="ar"/>
              </w:rPr>
              <w:t>“底线要求”达标情况统计表（分县统计）</w:t>
            </w:r>
          </w:p>
        </w:tc>
      </w:tr>
      <w:tr>
        <w:tblPrEx>
          <w:shd w:val="clear" w:color="auto" w:fill="auto"/>
          <w:tblLayout w:type="fixed"/>
          <w:tblCellMar>
            <w:top w:w="0" w:type="dxa"/>
            <w:left w:w="0" w:type="dxa"/>
            <w:bottom w:w="0" w:type="dxa"/>
            <w:right w:w="0" w:type="dxa"/>
          </w:tblCellMar>
        </w:tblPrEx>
        <w:trPr>
          <w:trHeight w:val="42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县级单位</w:t>
            </w:r>
          </w:p>
        </w:tc>
        <w:tc>
          <w:tcPr>
            <w:tcW w:w="30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学校</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其中：教学点</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57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达标数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达标率</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达标数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达标率</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499" w:hRule="atLeast"/>
          <w:jc w:val="center"/>
        </w:trPr>
        <w:tc>
          <w:tcPr>
            <w:tcW w:w="13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市中区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r>
      <w:tr>
        <w:tblPrEx>
          <w:tblLayout w:type="fixed"/>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薛城区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峄城区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台儿庄区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山亭区</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139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49</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49</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 滕州市</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30" w:hRule="atLeast"/>
          <w:jc w:val="center"/>
        </w:trPr>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市直属</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微软雅黑" w:hAnsi="微软雅黑" w:eastAsia="微软雅黑" w:cs="微软雅黑"/>
                <w:i w:val="0"/>
                <w:color w:val="000000"/>
                <w:sz w:val="20"/>
                <w:szCs w:val="20"/>
                <w:u w:val="none"/>
              </w:rPr>
            </w:pPr>
          </w:p>
        </w:tc>
      </w:tr>
    </w:tbl>
    <w:p>
      <w:pPr>
        <w:rPr>
          <w:rFonts w:hint="eastAsia" w:ascii="仿宋" w:hAnsi="仿宋" w:eastAsia="仿宋" w:cs="文星仿宋"/>
          <w:sz w:val="32"/>
          <w:szCs w:val="32"/>
          <w:lang w:val="en-US" w:eastAsia="zh-CN"/>
        </w:rPr>
      </w:pPr>
      <w:r>
        <w:rPr>
          <w:rFonts w:hint="eastAsia" w:ascii="仿宋" w:hAnsi="仿宋" w:eastAsia="仿宋" w:cs="文星仿宋"/>
          <w:sz w:val="32"/>
          <w:szCs w:val="32"/>
          <w:lang w:val="en-US" w:eastAsia="zh-CN"/>
        </w:rPr>
        <w:br w:type="page"/>
      </w:r>
    </w:p>
    <w:tbl>
      <w:tblPr>
        <w:tblStyle w:val="6"/>
        <w:tblW w:w="8140" w:type="dxa"/>
        <w:tblInd w:w="0" w:type="dxa"/>
        <w:shd w:val="clear" w:color="auto" w:fill="auto"/>
        <w:tblLayout w:type="fixed"/>
        <w:tblCellMar>
          <w:top w:w="0" w:type="dxa"/>
          <w:left w:w="0" w:type="dxa"/>
          <w:bottom w:w="0" w:type="dxa"/>
          <w:right w:w="0" w:type="dxa"/>
        </w:tblCellMar>
      </w:tblPr>
      <w:tblGrid>
        <w:gridCol w:w="474"/>
        <w:gridCol w:w="4630"/>
        <w:gridCol w:w="812"/>
        <w:gridCol w:w="727"/>
        <w:gridCol w:w="599"/>
        <w:gridCol w:w="898"/>
      </w:tblGrid>
      <w:tr>
        <w:tblPrEx>
          <w:tblLayout w:type="fixed"/>
          <w:tblCellMar>
            <w:top w:w="0" w:type="dxa"/>
            <w:left w:w="0" w:type="dxa"/>
            <w:bottom w:w="0" w:type="dxa"/>
            <w:right w:w="0" w:type="dxa"/>
          </w:tblCellMar>
        </w:tblPrEx>
        <w:trPr>
          <w:trHeight w:val="516" w:hRule="atLeast"/>
        </w:trPr>
        <w:tc>
          <w:tcPr>
            <w:tcW w:w="814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小标宋简体" w:hAnsi="方正小标宋简体" w:eastAsia="方正小标宋简体" w:cs="方正小标宋简体"/>
                <w:i w:val="0"/>
                <w:color w:val="000000"/>
                <w:kern w:val="0"/>
                <w:sz w:val="32"/>
                <w:szCs w:val="32"/>
                <w:u w:val="none"/>
                <w:lang w:val="en-US" w:eastAsia="zh-CN" w:bidi="ar"/>
              </w:rPr>
            </w:pPr>
            <w:r>
              <w:rPr>
                <w:rFonts w:hint="eastAsia" w:ascii="方正小标宋简体" w:hAnsi="方正小标宋简体" w:eastAsia="方正小标宋简体" w:cs="方正小标宋简体"/>
                <w:i w:val="0"/>
                <w:color w:val="000000"/>
                <w:kern w:val="0"/>
                <w:sz w:val="32"/>
                <w:szCs w:val="32"/>
                <w:u w:val="none"/>
                <w:lang w:val="en-US" w:eastAsia="zh-CN" w:bidi="ar"/>
              </w:rPr>
              <w:t>附件二</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枣庄市</w:t>
            </w:r>
            <w:r>
              <w:rPr>
                <w:rFonts w:hint="default" w:ascii="方正小标宋简体" w:hAnsi="方正小标宋简体" w:eastAsia="方正小标宋简体" w:cs="方正小标宋简体"/>
                <w:i w:val="0"/>
                <w:color w:val="000000"/>
                <w:kern w:val="0"/>
                <w:sz w:val="32"/>
                <w:szCs w:val="32"/>
                <w:u w:val="none"/>
                <w:lang w:val="en-US" w:eastAsia="zh-CN" w:bidi="ar"/>
              </w:rPr>
              <w:t>“底线要求”达标情况统计表（分项统计）</w:t>
            </w:r>
          </w:p>
        </w:tc>
      </w:tr>
      <w:tr>
        <w:tblPrEx>
          <w:shd w:val="clear" w:color="auto" w:fill="auto"/>
          <w:tblLayout w:type="fixed"/>
          <w:tblCellMar>
            <w:top w:w="0" w:type="dxa"/>
            <w:left w:w="0" w:type="dxa"/>
            <w:bottom w:w="0" w:type="dxa"/>
            <w:right w:w="0" w:type="dxa"/>
          </w:tblCellMar>
        </w:tblPrEx>
        <w:trPr>
          <w:trHeight w:val="277" w:hRule="atLeast"/>
        </w:trPr>
        <w:tc>
          <w:tcPr>
            <w:tcW w:w="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序号</w:t>
            </w:r>
          </w:p>
        </w:tc>
        <w:tc>
          <w:tcPr>
            <w:tcW w:w="4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“20条底线”要求</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达标学校（所）</w:t>
            </w: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未达标学校（所）</w:t>
            </w:r>
          </w:p>
        </w:tc>
      </w:tr>
      <w:tr>
        <w:tblPrEx>
          <w:shd w:val="clear" w:color="auto" w:fill="auto"/>
          <w:tblLayout w:type="fixed"/>
          <w:tblCellMar>
            <w:top w:w="0" w:type="dxa"/>
            <w:left w:w="0" w:type="dxa"/>
            <w:bottom w:w="0" w:type="dxa"/>
            <w:right w:w="0" w:type="dxa"/>
          </w:tblCellMar>
        </w:tblPrEx>
        <w:trPr>
          <w:trHeight w:val="277" w:hRule="atLeast"/>
        </w:trPr>
        <w:tc>
          <w:tcPr>
            <w:tcW w:w="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i w:val="0"/>
                <w:color w:val="000000"/>
                <w:sz w:val="21"/>
                <w:szCs w:val="21"/>
                <w:u w:val="none"/>
              </w:rPr>
            </w:pPr>
          </w:p>
        </w:tc>
        <w:tc>
          <w:tcPr>
            <w:tcW w:w="4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val="0"/>
                <w:bCs/>
                <w:i w:val="0"/>
                <w:color w:val="000000"/>
                <w:sz w:val="21"/>
                <w:szCs w:val="21"/>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其中：</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教学点</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合计</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其中：</w:t>
            </w:r>
            <w:r>
              <w:rPr>
                <w:rFonts w:hint="eastAsia" w:ascii="宋体" w:hAnsi="宋体" w:eastAsia="宋体" w:cs="宋体"/>
                <w:b w:val="0"/>
                <w:bCs/>
                <w:i w:val="0"/>
                <w:color w:val="000000"/>
                <w:kern w:val="0"/>
                <w:sz w:val="21"/>
                <w:szCs w:val="21"/>
                <w:u w:val="none"/>
                <w:lang w:val="en-US" w:eastAsia="zh-CN" w:bidi="ar"/>
              </w:rPr>
              <w:br w:type="textWrapping"/>
            </w:r>
            <w:r>
              <w:rPr>
                <w:rFonts w:hint="eastAsia" w:ascii="宋体" w:hAnsi="宋体" w:eastAsia="宋体" w:cs="宋体"/>
                <w:b w:val="0"/>
                <w:bCs/>
                <w:i w:val="0"/>
                <w:color w:val="000000"/>
                <w:kern w:val="0"/>
                <w:sz w:val="21"/>
                <w:szCs w:val="21"/>
                <w:u w:val="none"/>
                <w:lang w:val="en-US" w:eastAsia="zh-CN" w:bidi="ar"/>
              </w:rPr>
              <w:t>教学点</w:t>
            </w:r>
          </w:p>
        </w:tc>
      </w:tr>
      <w:tr>
        <w:tblPrEx>
          <w:shd w:val="clear" w:color="auto" w:fill="auto"/>
          <w:tblLayout w:type="fixed"/>
          <w:tblCellMar>
            <w:top w:w="0" w:type="dxa"/>
            <w:left w:w="0" w:type="dxa"/>
            <w:bottom w:w="0" w:type="dxa"/>
            <w:right w:w="0" w:type="dxa"/>
          </w:tblCellMar>
        </w:tblPrEx>
        <w:trPr>
          <w:trHeight w:val="277"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消除D级危房。新建校舍抗震设防类别不低于重点设防类，满足综合防灾要求</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Layout w:type="fixed"/>
          <w:tblCellMar>
            <w:top w:w="0" w:type="dxa"/>
            <w:left w:w="0" w:type="dxa"/>
            <w:bottom w:w="0" w:type="dxa"/>
            <w:right w:w="0" w:type="dxa"/>
          </w:tblCellMar>
        </w:tblPrEx>
        <w:trPr>
          <w:trHeight w:val="277"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多层校舍建筑每幢不少于2部楼梯，楼梯坡度不大于30度，护栏坚固</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Layout w:type="fixed"/>
          <w:tblCellMar>
            <w:top w:w="0" w:type="dxa"/>
            <w:left w:w="0" w:type="dxa"/>
            <w:bottom w:w="0" w:type="dxa"/>
            <w:right w:w="0" w:type="dxa"/>
          </w:tblCellMar>
        </w:tblPrEx>
        <w:trPr>
          <w:trHeight w:val="277"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教室和宿舍内外墙面平整，无明显尖锐突出物体，室内无裸露电线</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教学用房室内采光良好，照明设施完善，光线充足</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学生1人1桌1椅（凳）</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按国家标准配置满足教学要求的黑板</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设置旗台、旗杆，按要求升国旗</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277"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具备适合学生特点的体育活动场地和设施设备，有利于开展具有当地特色的体育活动</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因地制宜设置满足校园安全需要的围墙或围栏</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277"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新增图书为适合学生年龄特点的正版图书，配备复本量应视学校规模和图书使用频率合理确定</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有可供开展多媒体教学的教室</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学生宿舍不设在地下室或半地下室</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寄宿学生每人1个床位，消除“大通铺”现象</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寄宿制学校或供餐学校具备食品制作或加热条件</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配备开水供应设施设备</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Layout w:type="fixed"/>
          <w:tblCellMar>
            <w:top w:w="0" w:type="dxa"/>
            <w:left w:w="0" w:type="dxa"/>
            <w:bottom w:w="0" w:type="dxa"/>
            <w:right w:w="0" w:type="dxa"/>
          </w:tblCellMar>
        </w:tblPrEx>
        <w:trPr>
          <w:trHeight w:val="400"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0"/>
                <w:szCs w:val="20"/>
                <w:u w:val="none"/>
              </w:rPr>
            </w:pPr>
            <w:r>
              <w:rPr>
                <w:rStyle w:val="10"/>
                <w:lang w:val="en-US" w:eastAsia="zh-CN" w:bidi="ar"/>
              </w:rPr>
              <w:t>有条件的地方，新建校舍一般设置水冲式厕所。</w:t>
            </w:r>
            <w:r>
              <w:rPr>
                <w:rStyle w:val="11"/>
                <w:lang w:val="en-US" w:eastAsia="zh-CN" w:bidi="ar"/>
              </w:rPr>
              <w:t>厕位够用，按1:3设置男女蹲位。</w:t>
            </w:r>
            <w:r>
              <w:rPr>
                <w:rStyle w:val="10"/>
                <w:lang w:val="en-US" w:eastAsia="zh-CN" w:bidi="ar"/>
              </w:rPr>
              <w:t>旱厕应按学校专门无害化卫生厕所设置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除特别干旱地区外，寄宿制学校应设置淋浴设施</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配置消防和应急照明设备，设置疏散标志</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Layout w:type="fixed"/>
          <w:tblCellMar>
            <w:top w:w="0" w:type="dxa"/>
            <w:left w:w="0" w:type="dxa"/>
            <w:bottom w:w="0" w:type="dxa"/>
            <w:right w:w="0" w:type="dxa"/>
          </w:tblCellMar>
        </w:tblPrEx>
        <w:trPr>
          <w:trHeight w:val="277"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在校门、宿舍等关键部位安装摄像头和报警装置。宿舍区配备急救箱</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shd w:val="clear" w:color="auto" w:fill="auto"/>
          <w:tblLayout w:type="fixed"/>
          <w:tblCellMar>
            <w:top w:w="0" w:type="dxa"/>
            <w:left w:w="0" w:type="dxa"/>
            <w:bottom w:w="0" w:type="dxa"/>
            <w:right w:w="0" w:type="dxa"/>
          </w:tblCellMar>
        </w:tblPrEx>
        <w:trPr>
          <w:trHeight w:val="186" w:hRule="atLeast"/>
        </w:trPr>
        <w:tc>
          <w:tcPr>
            <w:tcW w:w="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消除66人以上超大班额</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653</w:t>
            </w:r>
          </w:p>
        </w:tc>
        <w:tc>
          <w:tcPr>
            <w:tcW w:w="727"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98" w:type="dxa"/>
            <w:tcBorders>
              <w:top w:val="single" w:color="000000" w:sz="4" w:space="0"/>
              <w:left w:val="single" w:color="000000" w:sz="4" w:space="0"/>
              <w:bottom w:val="single" w:color="000000" w:sz="4" w:space="0"/>
              <w:right w:val="single" w:color="000000" w:sz="4" w:space="0"/>
              <w:tr2bl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69" w:hRule="atLeast"/>
        </w:trPr>
        <w:tc>
          <w:tcPr>
            <w:tcW w:w="8140" w:type="dxa"/>
            <w:gridSpan w:val="6"/>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备注：教学点根据实际情况参照执行；对寄宿制学校的底线要求，非寄宿制学校视同达标。</w:t>
            </w:r>
          </w:p>
        </w:tc>
      </w:tr>
    </w:tbl>
    <w:p>
      <w:pPr>
        <w:jc w:val="both"/>
        <w:rPr>
          <w:rFonts w:hint="eastAsia" w:ascii="仿宋" w:hAnsi="仿宋" w:eastAsia="仿宋" w:cs="文星仿宋"/>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9I526xgEAAGsDAAAOAAAAAAAAAAEAIAAAAB4BAABkcnMvZTJvRG9jLnht&#10;bFBLBQYAAAAABgAGAFkBAABW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3D"/>
    <w:rsid w:val="00003351"/>
    <w:rsid w:val="00045B18"/>
    <w:rsid w:val="001A06C1"/>
    <w:rsid w:val="002B3534"/>
    <w:rsid w:val="00312F1B"/>
    <w:rsid w:val="00365D2C"/>
    <w:rsid w:val="004A1ECE"/>
    <w:rsid w:val="004C2665"/>
    <w:rsid w:val="005B2191"/>
    <w:rsid w:val="005B673A"/>
    <w:rsid w:val="005B693D"/>
    <w:rsid w:val="00637367"/>
    <w:rsid w:val="007B50B5"/>
    <w:rsid w:val="00845DF3"/>
    <w:rsid w:val="009E0833"/>
    <w:rsid w:val="00A47AA3"/>
    <w:rsid w:val="00B011EE"/>
    <w:rsid w:val="00B05A44"/>
    <w:rsid w:val="00B41B80"/>
    <w:rsid w:val="00F07F6F"/>
    <w:rsid w:val="1A8672CC"/>
    <w:rsid w:val="1B130995"/>
    <w:rsid w:val="5D1245CF"/>
    <w:rsid w:val="5DC221C2"/>
    <w:rsid w:val="674A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font11"/>
    <w:basedOn w:val="5"/>
    <w:qFormat/>
    <w:uiPriority w:val="0"/>
    <w:rPr>
      <w:rFonts w:hint="eastAsia" w:ascii="宋体" w:hAnsi="宋体" w:eastAsia="宋体" w:cs="宋体"/>
      <w:color w:val="000000"/>
      <w:sz w:val="20"/>
      <w:szCs w:val="20"/>
      <w:u w:val="none"/>
    </w:rPr>
  </w:style>
  <w:style w:type="character" w:customStyle="1" w:styleId="11">
    <w:name w:val="font0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3892</Words>
  <Characters>4287</Characters>
  <Lines>24</Lines>
  <Paragraphs>6</Paragraphs>
  <TotalTime>15</TotalTime>
  <ScaleCrop>false</ScaleCrop>
  <LinksUpToDate>false</LinksUpToDate>
  <CharactersWithSpaces>4300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2019-08-07T00:49:00Z</dcterms:created>
  <dc:creator>User</dc:creator>
  <cp:lastModifiedBy>admin</cp:lastModifiedBy>
  <cp:lastPrinted>2019-08-07T02:07:00Z</cp:lastPrinted>
  <dcterms:modified xsi:type="dcterms:W3CDTF">2019-08-07T07:58:06Z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